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NEXUS INNOVATIONS INC.</w:t>
      </w:r>
    </w:p>
    <w:p>
      <w:pPr>
        <w:spacing w:after="400"/>
        <w:jc w:val="center"/>
      </w:pPr>
      <w:r>
        <w:rPr>
          <w:color w:val="4a5568"/>
          <w:sz w:val="28"/>
          <w:szCs w:val="28"/>
        </w:rPr>
        <w:t xml:space="preserve">Q3 2024 Strategic Review &amp; Client Engagement Report</w:t>
      </w:r>
    </w:p>
    <w:p>
      <w:pPr>
        <w:pStyle w:val="Heading1"/>
      </w:pPr>
      <w:r>
        <w:t xml:space="preserve">1. Meeting Agenda</w:t>
      </w:r>
    </w:p>
    <w:p>
      <w:pPr>
        <w:spacing w:after="200"/>
      </w:pPr>
      <w:r>
        <w:rPr>
          <w:b/>
          <w:bCs/>
        </w:rPr>
        <w:t xml:space="preserve">Client: </w:t>
      </w:r>
      <w:r>
        <w:t xml:space="preserve">Apex Global Enterprises</w:t>
      </w:r>
    </w:p>
    <w:p>
      <w:pPr>
        <w:spacing w:after="200"/>
      </w:pPr>
      <w:r>
        <w:rPr>
          <w:b/>
          <w:bCs/>
        </w:rPr>
        <w:t xml:space="preserve">Date: </w:t>
      </w:r>
      <w:r>
        <w:t xml:space="preserve">October 15, 2024</w:t>
      </w:r>
    </w:p>
    <w:p>
      <w:pPr>
        <w:spacing w:after="200"/>
      </w:pPr>
      <w:r>
        <w:rPr>
          <w:b/>
          <w:bCs/>
        </w:rPr>
        <w:t xml:space="preserve">Duration: </w:t>
      </w:r>
      <w:r>
        <w:t xml:space="preserve">90 minutes</w:t>
      </w:r>
    </w:p>
    <w:p>
      <w:pPr>
        <w:spacing w:after="200"/>
      </w:pPr>
      <w:r>
        <w:rPr>
          <w:b/>
          <w:bCs/>
        </w:rPr>
        <w:t xml:space="preserve">Location: </w:t>
      </w:r>
      <w:r>
        <w:t xml:space="preserve">Virtual (Microsoft Teams)</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1500"/>
        <w:gridCol w:w="5000"/>
        <w:gridCol w:w="2860"/>
      </w:tblGrid>
      <w:tr>
        <w:trPr>
          <w:tblHeader/>
        </w:trPr>
        <w:tc>
          <w:tcPr>
            <w:tcW w:type="dxa" w:w="1500"/>
            <w:tcBorders>
              <w:top w:val="single" w:color="CCCCCC" w:sz="1"/>
              <w:left w:val="single" w:color="CCCCCC" w:sz="1"/>
              <w:bottom w:val="single" w:color="CCCCCC" w:sz="1"/>
              <w:right w:val="single" w:color="CCCCCC" w:sz="1"/>
            </w:tcBorders>
            <w:shd w:fill="2c5282" w:val="clear"/>
            <w:vAlign w:val="center"/>
          </w:tcPr>
          <w:p>
            <w:pPr>
              <w:jc w:val="center"/>
            </w:pPr>
            <w:r>
              <w:rPr>
                <w:b/>
                <w:bCs/>
                <w:color w:val="FFFFFF"/>
              </w:rPr>
              <w:t xml:space="preserve">Time</w:t>
            </w:r>
          </w:p>
        </w:tc>
        <w:tc>
          <w:tcPr>
            <w:tcW w:type="dxa" w:w="5000"/>
            <w:tcBorders>
              <w:top w:val="single" w:color="CCCCCC" w:sz="1"/>
              <w:left w:val="single" w:color="CCCCCC" w:sz="1"/>
              <w:bottom w:val="single" w:color="CCCCCC" w:sz="1"/>
              <w:right w:val="single" w:color="CCCCCC" w:sz="1"/>
            </w:tcBorders>
            <w:shd w:fill="2c5282" w:val="clear"/>
            <w:vAlign w:val="center"/>
          </w:tcPr>
          <w:p>
            <w:pPr>
              <w:jc w:val="center"/>
            </w:pPr>
            <w:r>
              <w:rPr>
                <w:b/>
                <w:bCs/>
                <w:color w:val="FFFFFF"/>
              </w:rPr>
              <w:t xml:space="preserve">Agenda Item</w:t>
            </w:r>
          </w:p>
        </w:tc>
        <w:tc>
          <w:tcPr>
            <w:tcW w:type="dxa" w:w="2860"/>
            <w:tcBorders>
              <w:top w:val="single" w:color="CCCCCC" w:sz="1"/>
              <w:left w:val="single" w:color="CCCCCC" w:sz="1"/>
              <w:bottom w:val="single" w:color="CCCCCC" w:sz="1"/>
              <w:right w:val="single" w:color="CCCCCC" w:sz="1"/>
            </w:tcBorders>
            <w:shd w:fill="2c5282" w:val="clear"/>
            <w:vAlign w:val="center"/>
          </w:tcPr>
          <w:p>
            <w:pPr>
              <w:jc w:val="center"/>
            </w:pPr>
            <w:r>
              <w:rPr>
                <w:b/>
                <w:bCs/>
                <w:color w:val="FFFFFF"/>
              </w:rPr>
              <w:t xml:space="preserve">Presenter</w:t>
            </w:r>
          </w:p>
        </w:tc>
      </w:tr>
      <w:tr>
        <w:tc>
          <w:tcPr>
            <w:tcW w:type="dxa" w:w="1500"/>
            <w:tcBorders>
              <w:top w:val="single" w:color="CCCCCC" w:sz="1"/>
              <w:left w:val="single" w:color="CCCCCC" w:sz="1"/>
              <w:bottom w:val="single" w:color="CCCCCC" w:sz="1"/>
              <w:right w:val="single" w:color="CCCCCC" w:sz="1"/>
            </w:tcBorders>
          </w:tcPr>
          <w:p>
            <w:r>
              <w:t xml:space="preserve">0:00-0:10</w:t>
            </w:r>
          </w:p>
        </w:tc>
        <w:tc>
          <w:tcPr>
            <w:tcW w:type="dxa" w:w="5000"/>
            <w:tcBorders>
              <w:top w:val="single" w:color="CCCCCC" w:sz="1"/>
              <w:left w:val="single" w:color="CCCCCC" w:sz="1"/>
              <w:bottom w:val="single" w:color="CCCCCC" w:sz="1"/>
              <w:right w:val="single" w:color="CCCCCC" w:sz="1"/>
            </w:tcBorders>
          </w:tcPr>
          <w:p>
            <w:r>
              <w:t xml:space="preserve">Welcome &amp; Introductions</w:t>
            </w:r>
          </w:p>
        </w:tc>
        <w:tc>
          <w:tcPr>
            <w:tcW w:type="dxa" w:w="2860"/>
            <w:tcBorders>
              <w:top w:val="single" w:color="CCCCCC" w:sz="1"/>
              <w:left w:val="single" w:color="CCCCCC" w:sz="1"/>
              <w:bottom w:val="single" w:color="CCCCCC" w:sz="1"/>
              <w:right w:val="single" w:color="CCCCCC" w:sz="1"/>
            </w:tcBorders>
          </w:tcPr>
          <w:p>
            <w:r>
              <w:t xml:space="preserve">Sarah Chen, VP Sales</w:t>
            </w:r>
          </w:p>
        </w:tc>
      </w:tr>
      <w:tr>
        <w:tc>
          <w:tcPr>
            <w:tcW w:type="dxa" w:w="1500"/>
            <w:tcBorders>
              <w:top w:val="single" w:color="CCCCCC" w:sz="1"/>
              <w:left w:val="single" w:color="CCCCCC" w:sz="1"/>
              <w:bottom w:val="single" w:color="CCCCCC" w:sz="1"/>
              <w:right w:val="single" w:color="CCCCCC" w:sz="1"/>
            </w:tcBorders>
          </w:tcPr>
          <w:p>
            <w:r>
              <w:t xml:space="preserve">0:10-0:25</w:t>
            </w:r>
          </w:p>
        </w:tc>
        <w:tc>
          <w:tcPr>
            <w:tcW w:type="dxa" w:w="5000"/>
            <w:tcBorders>
              <w:top w:val="single" w:color="CCCCCC" w:sz="1"/>
              <w:left w:val="single" w:color="CCCCCC" w:sz="1"/>
              <w:bottom w:val="single" w:color="CCCCCC" w:sz="1"/>
              <w:right w:val="single" w:color="CCCCCC" w:sz="1"/>
            </w:tcBorders>
          </w:tcPr>
          <w:p>
            <w:r>
              <w:t xml:space="preserve">Q3 Performance Review &amp; Market Analysis</w:t>
            </w:r>
          </w:p>
        </w:tc>
        <w:tc>
          <w:tcPr>
            <w:tcW w:type="dxa" w:w="2860"/>
            <w:tcBorders>
              <w:top w:val="single" w:color="CCCCCC" w:sz="1"/>
              <w:left w:val="single" w:color="CCCCCC" w:sz="1"/>
              <w:bottom w:val="single" w:color="CCCCCC" w:sz="1"/>
              <w:right w:val="single" w:color="CCCCCC" w:sz="1"/>
            </w:tcBorders>
          </w:tcPr>
          <w:p>
            <w:r>
              <w:t xml:space="preserve">Marcus Johnson, Analytics</w:t>
            </w:r>
          </w:p>
        </w:tc>
      </w:tr>
      <w:tr>
        <w:tc>
          <w:tcPr>
            <w:tcW w:type="dxa" w:w="1500"/>
            <w:tcBorders>
              <w:top w:val="single" w:color="CCCCCC" w:sz="1"/>
              <w:left w:val="single" w:color="CCCCCC" w:sz="1"/>
              <w:bottom w:val="single" w:color="CCCCCC" w:sz="1"/>
              <w:right w:val="single" w:color="CCCCCC" w:sz="1"/>
            </w:tcBorders>
          </w:tcPr>
          <w:p>
            <w:r>
              <w:t xml:space="preserve">0:25-0:40</w:t>
            </w:r>
          </w:p>
        </w:tc>
        <w:tc>
          <w:tcPr>
            <w:tcW w:type="dxa" w:w="5000"/>
            <w:tcBorders>
              <w:top w:val="single" w:color="CCCCCC" w:sz="1"/>
              <w:left w:val="single" w:color="CCCCCC" w:sz="1"/>
              <w:bottom w:val="single" w:color="CCCCCC" w:sz="1"/>
              <w:right w:val="single" w:color="CCCCCC" w:sz="1"/>
            </w:tcBorders>
          </w:tcPr>
          <w:p>
            <w:r>
              <w:t xml:space="preserve">Product Roadmap &amp; New Feature Preview</w:t>
            </w:r>
          </w:p>
        </w:tc>
        <w:tc>
          <w:tcPr>
            <w:tcW w:type="dxa" w:w="2860"/>
            <w:tcBorders>
              <w:top w:val="single" w:color="CCCCCC" w:sz="1"/>
              <w:left w:val="single" w:color="CCCCCC" w:sz="1"/>
              <w:bottom w:val="single" w:color="CCCCCC" w:sz="1"/>
              <w:right w:val="single" w:color="CCCCCC" w:sz="1"/>
            </w:tcBorders>
          </w:tcPr>
          <w:p>
            <w:r>
              <w:t xml:space="preserve">Dr. Elena Voss, CTO</w:t>
            </w:r>
          </w:p>
        </w:tc>
      </w:tr>
      <w:tr>
        <w:tc>
          <w:tcPr>
            <w:tcW w:type="dxa" w:w="1500"/>
            <w:tcBorders>
              <w:top w:val="single" w:color="CCCCCC" w:sz="1"/>
              <w:left w:val="single" w:color="CCCCCC" w:sz="1"/>
              <w:bottom w:val="single" w:color="CCCCCC" w:sz="1"/>
              <w:right w:val="single" w:color="CCCCCC" w:sz="1"/>
            </w:tcBorders>
          </w:tcPr>
          <w:p>
            <w:r>
              <w:t xml:space="preserve">0:40-0:55</w:t>
            </w:r>
          </w:p>
        </w:tc>
        <w:tc>
          <w:tcPr>
            <w:tcW w:type="dxa" w:w="5000"/>
            <w:tcBorders>
              <w:top w:val="single" w:color="CCCCCC" w:sz="1"/>
              <w:left w:val="single" w:color="CCCCCC" w:sz="1"/>
              <w:bottom w:val="single" w:color="CCCCCC" w:sz="1"/>
              <w:right w:val="single" w:color="CCCCCC" w:sz="1"/>
            </w:tcBorders>
          </w:tcPr>
          <w:p>
            <w:r>
              <w:t xml:space="preserve">Case Study: Automation Success Story</w:t>
            </w:r>
          </w:p>
        </w:tc>
        <w:tc>
          <w:tcPr>
            <w:tcW w:type="dxa" w:w="2860"/>
            <w:tcBorders>
              <w:top w:val="single" w:color="CCCCCC" w:sz="1"/>
              <w:left w:val="single" w:color="CCCCCC" w:sz="1"/>
              <w:bottom w:val="single" w:color="CCCCCC" w:sz="1"/>
              <w:right w:val="single" w:color="CCCCCC" w:sz="1"/>
            </w:tcBorders>
          </w:tcPr>
          <w:p>
            <w:r>
              <w:t xml:space="preserve">Jennifer Park, Client Success</w:t>
            </w:r>
          </w:p>
        </w:tc>
      </w:tr>
      <w:tr>
        <w:tc>
          <w:tcPr>
            <w:tcW w:type="dxa" w:w="1500"/>
            <w:tcBorders>
              <w:top w:val="single" w:color="CCCCCC" w:sz="1"/>
              <w:left w:val="single" w:color="CCCCCC" w:sz="1"/>
              <w:bottom w:val="single" w:color="CCCCCC" w:sz="1"/>
              <w:right w:val="single" w:color="CCCCCC" w:sz="1"/>
            </w:tcBorders>
          </w:tcPr>
          <w:p>
            <w:r>
              <w:t xml:space="preserve">0:55-1:15</w:t>
            </w:r>
          </w:p>
        </w:tc>
        <w:tc>
          <w:tcPr>
            <w:tcW w:type="dxa" w:w="5000"/>
            <w:tcBorders>
              <w:top w:val="single" w:color="CCCCCC" w:sz="1"/>
              <w:left w:val="single" w:color="CCCCCC" w:sz="1"/>
              <w:bottom w:val="single" w:color="CCCCCC" w:sz="1"/>
              <w:right w:val="single" w:color="CCCCCC" w:sz="1"/>
            </w:tcBorders>
          </w:tcPr>
          <w:p>
            <w:r>
              <w:t xml:space="preserve">Q&amp;A and Discussion</w:t>
            </w:r>
          </w:p>
        </w:tc>
        <w:tc>
          <w:tcPr>
            <w:tcW w:type="dxa" w:w="2860"/>
            <w:tcBorders>
              <w:top w:val="single" w:color="CCCCCC" w:sz="1"/>
              <w:left w:val="single" w:color="CCCCCC" w:sz="1"/>
              <w:bottom w:val="single" w:color="CCCCCC" w:sz="1"/>
              <w:right w:val="single" w:color="CCCCCC" w:sz="1"/>
            </w:tcBorders>
          </w:tcPr>
          <w:p>
            <w:r>
              <w:t xml:space="preserve">All Attendees</w:t>
            </w:r>
          </w:p>
        </w:tc>
      </w:tr>
      <w:tr>
        <w:tc>
          <w:tcPr>
            <w:tcW w:type="dxa" w:w="1500"/>
            <w:tcBorders>
              <w:top w:val="single" w:color="CCCCCC" w:sz="1"/>
              <w:left w:val="single" w:color="CCCCCC" w:sz="1"/>
              <w:bottom w:val="single" w:color="CCCCCC" w:sz="1"/>
              <w:right w:val="single" w:color="CCCCCC" w:sz="1"/>
            </w:tcBorders>
          </w:tcPr>
          <w:p>
            <w:r>
              <w:t xml:space="preserve">1:15-1:30</w:t>
            </w:r>
          </w:p>
        </w:tc>
        <w:tc>
          <w:tcPr>
            <w:tcW w:type="dxa" w:w="5000"/>
            <w:tcBorders>
              <w:top w:val="single" w:color="CCCCCC" w:sz="1"/>
              <w:left w:val="single" w:color="CCCCCC" w:sz="1"/>
              <w:bottom w:val="single" w:color="CCCCCC" w:sz="1"/>
              <w:right w:val="single" w:color="CCCCCC" w:sz="1"/>
            </w:tcBorders>
          </w:tcPr>
          <w:p>
            <w:r>
              <w:t xml:space="preserve">Next Steps &amp; Action Items</w:t>
            </w:r>
          </w:p>
        </w:tc>
        <w:tc>
          <w:tcPr>
            <w:tcW w:type="dxa" w:w="2860"/>
            <w:tcBorders>
              <w:top w:val="single" w:color="CCCCCC" w:sz="1"/>
              <w:left w:val="single" w:color="CCCCCC" w:sz="1"/>
              <w:bottom w:val="single" w:color="CCCCCC" w:sz="1"/>
              <w:right w:val="single" w:color="CCCCCC" w:sz="1"/>
            </w:tcBorders>
          </w:tcPr>
          <w:p>
            <w:r>
              <w:t xml:space="preserve">Sarah Chen</w:t>
            </w:r>
          </w:p>
        </w:tc>
      </w:tr>
    </w:tbl>
    <w:p>
      <w:pPr>
        <w:pStyle w:val="Heading1"/>
        <w:spacing w:before="480"/>
      </w:pPr>
      <w:r>
        <w:t xml:space="preserve">2. Key Findings &amp; Data Analysis</w:t>
      </w:r>
    </w:p>
    <w:p>
      <w:pPr>
        <w:pStyle w:val="Heading2"/>
      </w:pPr>
      <w:r>
        <w:t xml:space="preserve">2.1 Market Performance Metrics</w:t>
      </w:r>
    </w:p>
    <w:p>
      <w:pPr>
        <w:spacing w:after="200"/>
      </w:pPr>
      <w:r>
        <w:t xml:space="preserve">Our comprehensive analysis of Q3 2024 revealed significant growth across all primary verticals. Total revenue increased by 34% quarter-over-quarter, exceeding our projected target of 28%. The most substantial gains were observed in the enterprise automation sector, which contributed $12.4M in new business.</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CCCCCC" w:sz="1"/>
              <w:left w:val="single" w:color="CCCCCC" w:sz="1"/>
              <w:bottom w:val="single" w:color="CCCCCC" w:sz="1"/>
              <w:right w:val="single" w:color="CCCCCC" w:sz="1"/>
            </w:tcBorders>
            <w:shd w:fill="2c5282" w:val="clear"/>
          </w:tcPr>
          <w:p>
            <w:pPr>
              <w:jc w:val="center"/>
            </w:pPr>
            <w:r>
              <w:rPr>
                <w:b/>
                <w:bCs/>
                <w:color w:val="FFFFFF"/>
              </w:rPr>
              <w:t xml:space="preserve">Metric</w:t>
            </w:r>
          </w:p>
        </w:tc>
        <w:tc>
          <w:tcPr>
            <w:tcW w:type="dxa" w:w="3120"/>
            <w:tcBorders>
              <w:top w:val="single" w:color="CCCCCC" w:sz="1"/>
              <w:left w:val="single" w:color="CCCCCC" w:sz="1"/>
              <w:bottom w:val="single" w:color="CCCCCC" w:sz="1"/>
              <w:right w:val="single" w:color="CCCCCC" w:sz="1"/>
            </w:tcBorders>
            <w:shd w:fill="2c5282" w:val="clear"/>
          </w:tcPr>
          <w:p>
            <w:pPr>
              <w:jc w:val="center"/>
            </w:pPr>
            <w:r>
              <w:rPr>
                <w:b/>
                <w:bCs/>
                <w:color w:val="FFFFFF"/>
              </w:rPr>
              <w:t xml:space="preserve">Q3 2024</w:t>
            </w:r>
          </w:p>
        </w:tc>
        <w:tc>
          <w:tcPr>
            <w:tcW w:type="dxa" w:w="3120"/>
            <w:tcBorders>
              <w:top w:val="single" w:color="CCCCCC" w:sz="1"/>
              <w:left w:val="single" w:color="CCCCCC" w:sz="1"/>
              <w:bottom w:val="single" w:color="CCCCCC" w:sz="1"/>
              <w:right w:val="single" w:color="CCCCCC" w:sz="1"/>
            </w:tcBorders>
            <w:shd w:fill="2c5282" w:val="clear"/>
          </w:tcPr>
          <w:p>
            <w:pPr>
              <w:jc w:val="center"/>
            </w:pPr>
            <w:r>
              <w:rPr>
                <w:b/>
                <w:bCs/>
                <w:color w:val="FFFFFF"/>
              </w:rPr>
              <w:t xml:space="preserve">YoY Change</w:t>
            </w:r>
          </w:p>
        </w:tc>
      </w:tr>
      <w:tr>
        <w:tc>
          <w:tcPr>
            <w:tcW w:type="dxa" w:w="3120"/>
            <w:tcBorders>
              <w:top w:val="single" w:color="CCCCCC" w:sz="1"/>
              <w:left w:val="single" w:color="CCCCCC" w:sz="1"/>
              <w:bottom w:val="single" w:color="CCCCCC" w:sz="1"/>
              <w:right w:val="single" w:color="CCCCCC" w:sz="1"/>
            </w:tcBorders>
          </w:tcPr>
          <w:p>
            <w:r>
              <w:t xml:space="preserve">Total Revenue</w:t>
            </w:r>
          </w:p>
        </w:tc>
        <w:tc>
          <w:tcPr>
            <w:tcW w:type="dxa" w:w="3120"/>
            <w:tcBorders>
              <w:top w:val="single" w:color="CCCCCC" w:sz="1"/>
              <w:left w:val="single" w:color="CCCCCC" w:sz="1"/>
              <w:bottom w:val="single" w:color="CCCCCC" w:sz="1"/>
              <w:right w:val="single" w:color="CCCCCC" w:sz="1"/>
            </w:tcBorders>
          </w:tcPr>
          <w:p>
            <w:pPr>
              <w:jc w:val="right"/>
            </w:pPr>
            <w:r>
              <w:t xml:space="preserve">$47.2M</w:t>
            </w:r>
          </w:p>
        </w:tc>
        <w:tc>
          <w:tcPr>
            <w:tcW w:type="dxa" w:w="3120"/>
            <w:tcBorders>
              <w:top w:val="single" w:color="CCCCCC" w:sz="1"/>
              <w:left w:val="single" w:color="CCCCCC" w:sz="1"/>
              <w:bottom w:val="single" w:color="CCCCCC" w:sz="1"/>
              <w:right w:val="single" w:color="CCCCCC" w:sz="1"/>
            </w:tcBorders>
          </w:tcPr>
          <w:p>
            <w:pPr>
              <w:jc w:val="right"/>
            </w:pPr>
            <w:r>
              <w:rPr>
                <w:b/>
                <w:bCs/>
                <w:color w:val="2f855a"/>
              </w:rPr>
              <w:t xml:space="preserve">+34%</w:t>
            </w:r>
          </w:p>
        </w:tc>
      </w:tr>
      <w:tr>
        <w:tc>
          <w:tcPr>
            <w:tcW w:type="dxa" w:w="3120"/>
            <w:tcBorders>
              <w:top w:val="single" w:color="CCCCCC" w:sz="1"/>
              <w:left w:val="single" w:color="CCCCCC" w:sz="1"/>
              <w:bottom w:val="single" w:color="CCCCCC" w:sz="1"/>
              <w:right w:val="single" w:color="CCCCCC" w:sz="1"/>
            </w:tcBorders>
          </w:tcPr>
          <w:p>
            <w:r>
              <w:t xml:space="preserve">New Customer Acquisition</w:t>
            </w:r>
          </w:p>
        </w:tc>
        <w:tc>
          <w:tcPr>
            <w:tcW w:type="dxa" w:w="3120"/>
            <w:tcBorders>
              <w:top w:val="single" w:color="CCCCCC" w:sz="1"/>
              <w:left w:val="single" w:color="CCCCCC" w:sz="1"/>
              <w:bottom w:val="single" w:color="CCCCCC" w:sz="1"/>
              <w:right w:val="single" w:color="CCCCCC" w:sz="1"/>
            </w:tcBorders>
          </w:tcPr>
          <w:p>
            <w:pPr>
              <w:jc w:val="right"/>
            </w:pPr>
            <w:r>
              <w:t xml:space="preserve">1,247</w:t>
            </w:r>
          </w:p>
        </w:tc>
        <w:tc>
          <w:tcPr>
            <w:tcW w:type="dxa" w:w="3120"/>
            <w:tcBorders>
              <w:top w:val="single" w:color="CCCCCC" w:sz="1"/>
              <w:left w:val="single" w:color="CCCCCC" w:sz="1"/>
              <w:bottom w:val="single" w:color="CCCCCC" w:sz="1"/>
              <w:right w:val="single" w:color="CCCCCC" w:sz="1"/>
            </w:tcBorders>
          </w:tcPr>
          <w:p>
            <w:pPr>
              <w:jc w:val="right"/>
            </w:pPr>
            <w:r>
              <w:rPr>
                <w:b/>
                <w:bCs/>
                <w:color w:val="2f855a"/>
              </w:rPr>
              <w:t xml:space="preserve">+52%</w:t>
            </w:r>
          </w:p>
        </w:tc>
      </w:tr>
      <w:tr>
        <w:tc>
          <w:tcPr>
            <w:tcW w:type="dxa" w:w="3120"/>
            <w:tcBorders>
              <w:top w:val="single" w:color="CCCCCC" w:sz="1"/>
              <w:left w:val="single" w:color="CCCCCC" w:sz="1"/>
              <w:bottom w:val="single" w:color="CCCCCC" w:sz="1"/>
              <w:right w:val="single" w:color="CCCCCC" w:sz="1"/>
            </w:tcBorders>
          </w:tcPr>
          <w:p>
            <w:r>
              <w:t xml:space="preserve">Customer Retention Rate</w:t>
            </w:r>
          </w:p>
        </w:tc>
        <w:tc>
          <w:tcPr>
            <w:tcW w:type="dxa" w:w="3120"/>
            <w:tcBorders>
              <w:top w:val="single" w:color="CCCCCC" w:sz="1"/>
              <w:left w:val="single" w:color="CCCCCC" w:sz="1"/>
              <w:bottom w:val="single" w:color="CCCCCC" w:sz="1"/>
              <w:right w:val="single" w:color="CCCCCC" w:sz="1"/>
            </w:tcBorders>
          </w:tcPr>
          <w:p>
            <w:pPr>
              <w:jc w:val="right"/>
            </w:pPr>
            <w:r>
              <w:t xml:space="preserve">94.3%</w:t>
            </w:r>
          </w:p>
        </w:tc>
        <w:tc>
          <w:tcPr>
            <w:tcW w:type="dxa" w:w="3120"/>
            <w:tcBorders>
              <w:top w:val="single" w:color="CCCCCC" w:sz="1"/>
              <w:left w:val="single" w:color="CCCCCC" w:sz="1"/>
              <w:bottom w:val="single" w:color="CCCCCC" w:sz="1"/>
              <w:right w:val="single" w:color="CCCCCC" w:sz="1"/>
            </w:tcBorders>
          </w:tcPr>
          <w:p>
            <w:pPr>
              <w:jc w:val="right"/>
            </w:pPr>
            <w:r>
              <w:rPr>
                <w:b/>
                <w:bCs/>
                <w:color w:val="2f855a"/>
              </w:rPr>
              <w:t xml:space="preserve">+2.1%</w:t>
            </w:r>
          </w:p>
        </w:tc>
      </w:tr>
      <w:tr>
        <w:tc>
          <w:tcPr>
            <w:tcW w:type="dxa" w:w="3120"/>
            <w:tcBorders>
              <w:top w:val="single" w:color="CCCCCC" w:sz="1"/>
              <w:left w:val="single" w:color="CCCCCC" w:sz="1"/>
              <w:bottom w:val="single" w:color="CCCCCC" w:sz="1"/>
              <w:right w:val="single" w:color="CCCCCC" w:sz="1"/>
            </w:tcBorders>
          </w:tcPr>
          <w:p>
            <w:r>
              <w:t xml:space="preserve">Average Contract Value</w:t>
            </w:r>
          </w:p>
        </w:tc>
        <w:tc>
          <w:tcPr>
            <w:tcW w:type="dxa" w:w="3120"/>
            <w:tcBorders>
              <w:top w:val="single" w:color="CCCCCC" w:sz="1"/>
              <w:left w:val="single" w:color="CCCCCC" w:sz="1"/>
              <w:bottom w:val="single" w:color="CCCCCC" w:sz="1"/>
              <w:right w:val="single" w:color="CCCCCC" w:sz="1"/>
            </w:tcBorders>
          </w:tcPr>
          <w:p>
            <w:pPr>
              <w:jc w:val="right"/>
            </w:pPr>
            <w:r>
              <w:t xml:space="preserve">$127,500</w:t>
            </w:r>
          </w:p>
        </w:tc>
        <w:tc>
          <w:tcPr>
            <w:tcW w:type="dxa" w:w="3120"/>
            <w:tcBorders>
              <w:top w:val="single" w:color="CCCCCC" w:sz="1"/>
              <w:left w:val="single" w:color="CCCCCC" w:sz="1"/>
              <w:bottom w:val="single" w:color="CCCCCC" w:sz="1"/>
              <w:right w:val="single" w:color="CCCCCC" w:sz="1"/>
            </w:tcBorders>
          </w:tcPr>
          <w:p>
            <w:pPr>
              <w:jc w:val="right"/>
            </w:pPr>
            <w:r>
              <w:rPr>
                <w:b/>
                <w:bCs/>
                <w:color w:val="2f855a"/>
              </w:rPr>
              <w:t xml:space="preserve">+18%</w:t>
            </w:r>
          </w:p>
        </w:tc>
      </w:tr>
      <w:tr>
        <w:tc>
          <w:tcPr>
            <w:tcW w:type="dxa" w:w="3120"/>
            <w:tcBorders>
              <w:top w:val="single" w:color="CCCCCC" w:sz="1"/>
              <w:left w:val="single" w:color="CCCCCC" w:sz="1"/>
              <w:bottom w:val="single" w:color="CCCCCC" w:sz="1"/>
              <w:right w:val="single" w:color="CCCCCC" w:sz="1"/>
            </w:tcBorders>
          </w:tcPr>
          <w:p>
            <w:r>
              <w:t xml:space="preserve">Implementation Time (Avg)</w:t>
            </w:r>
          </w:p>
        </w:tc>
        <w:tc>
          <w:tcPr>
            <w:tcW w:type="dxa" w:w="3120"/>
            <w:tcBorders>
              <w:top w:val="single" w:color="CCCCCC" w:sz="1"/>
              <w:left w:val="single" w:color="CCCCCC" w:sz="1"/>
              <w:bottom w:val="single" w:color="CCCCCC" w:sz="1"/>
              <w:right w:val="single" w:color="CCCCCC" w:sz="1"/>
            </w:tcBorders>
          </w:tcPr>
          <w:p>
            <w:pPr>
              <w:jc w:val="right"/>
            </w:pPr>
            <w:r>
              <w:t xml:space="preserve">4.2 weeks</w:t>
            </w:r>
          </w:p>
        </w:tc>
        <w:tc>
          <w:tcPr>
            <w:tcW w:type="dxa" w:w="3120"/>
            <w:tcBorders>
              <w:top w:val="single" w:color="CCCCCC" w:sz="1"/>
              <w:left w:val="single" w:color="CCCCCC" w:sz="1"/>
              <w:bottom w:val="single" w:color="CCCCCC" w:sz="1"/>
              <w:right w:val="single" w:color="CCCCCC" w:sz="1"/>
            </w:tcBorders>
          </w:tcPr>
          <w:p>
            <w:pPr>
              <w:jc w:val="right"/>
            </w:pPr>
            <w:r>
              <w:rPr>
                <w:b/>
                <w:bCs/>
                <w:color w:val="2f855a"/>
              </w:rPr>
              <w:t xml:space="preserve">-35%</w:t>
            </w:r>
          </w:p>
        </w:tc>
      </w:tr>
    </w:tbl>
    <w:p>
      <w:pPr>
        <w:pStyle w:val="Heading2"/>
        <w:spacing w:before="360"/>
      </w:pPr>
      <w:r>
        <w:t xml:space="preserve">2.2 Competitive Analysis</w:t>
      </w:r>
    </w:p>
    <w:p>
      <w:pPr>
        <w:spacing w:after="200"/>
      </w:pPr>
      <w:r>
        <w:t xml:space="preserve">Our competitive positioning has strengthened considerably. Nexus Innovations now holds an estimated 18% market share in the enterprise automation space, up from 12% in Q3 2023. Key differentiators identified through client feedback include:</w:t>
      </w:r>
    </w:p>
    <w:p>
      <w:pPr>
        <w:spacing w:after="100"/>
        <w:ind w:left="720"/>
      </w:pPr>
      <w:r>
        <w:rPr>
          <w:b/>
          <w:bCs/>
        </w:rPr>
        <w:t xml:space="preserve">• </w:t>
      </w:r>
      <w:r>
        <w:t xml:space="preserve">Superior AI-driven workflow automation capabilities</w:t>
      </w:r>
    </w:p>
    <w:p>
      <w:pPr>
        <w:spacing w:after="100"/>
        <w:ind w:left="720"/>
      </w:pPr>
      <w:r>
        <w:rPr>
          <w:b/>
          <w:bCs/>
        </w:rPr>
        <w:t xml:space="preserve">• </w:t>
      </w:r>
      <w:r>
        <w:t xml:space="preserve">Faster implementation times (4.2 weeks vs. industry average of 8 weeks)</w:t>
      </w:r>
    </w:p>
    <w:p>
      <w:pPr>
        <w:spacing w:after="100"/>
        <w:ind w:left="720"/>
      </w:pPr>
      <w:r>
        <w:rPr>
          <w:b/>
          <w:bCs/>
        </w:rPr>
        <w:t xml:space="preserve">• </w:t>
      </w:r>
      <w:r>
        <w:t xml:space="preserve">Dedicated 24/7 customer success team</w:t>
      </w:r>
    </w:p>
    <w:p>
      <w:pPr>
        <w:spacing w:after="100"/>
        <w:ind w:left="720"/>
      </w:pPr>
      <w:r>
        <w:rPr>
          <w:b/>
          <w:bCs/>
        </w:rPr>
        <w:t xml:space="preserve">• </w:t>
      </w:r>
      <w:r>
        <w:t xml:space="preserve">Seamless integration with 200+ enterprise platforms</w:t>
      </w:r>
    </w:p>
    <w:p>
      <w:pPr>
        <w:pStyle w:val="Heading2"/>
        <w:spacing w:before="360"/>
      </w:pPr>
      <w:r>
        <w:t xml:space="preserve">2.3 Client Satisfaction Insights</w:t>
      </w:r>
    </w:p>
    <w:p>
      <w:pPr>
        <w:spacing w:after="200"/>
      </w:pPr>
      <w:r>
        <w:t xml:space="preserve">The Q3 Net Promoter Score (NPS) survey yielded exceptional results with a score of 72, placing us in the 'excellent' category. Qualitative feedback highlighted particular satisfaction with:</w:t>
      </w:r>
    </w:p>
    <w:p>
      <w:pPr>
        <w:spacing w:after="100"/>
        <w:ind w:left="720"/>
      </w:pPr>
      <w:r>
        <w:rPr>
          <w:b/>
          <w:bCs/>
        </w:rPr>
        <w:t xml:space="preserve">• </w:t>
      </w:r>
      <w:r>
        <w:t xml:space="preserve">Intuitive user interface and reduced training requirements</w:t>
      </w:r>
    </w:p>
    <w:p>
      <w:pPr>
        <w:spacing w:after="100"/>
        <w:ind w:left="720"/>
      </w:pPr>
      <w:r>
        <w:rPr>
          <w:b/>
          <w:bCs/>
        </w:rPr>
        <w:t xml:space="preserve">• </w:t>
      </w:r>
      <w:r>
        <w:t xml:space="preserve">ROI realization within the first 90 days (average 287% return)</w:t>
      </w:r>
    </w:p>
    <w:p>
      <w:pPr>
        <w:spacing w:after="100"/>
        <w:ind w:left="720"/>
      </w:pPr>
      <w:r>
        <w:rPr>
          <w:b/>
          <w:bCs/>
        </w:rPr>
        <w:t xml:space="preserve">• </w:t>
      </w:r>
      <w:r>
        <w:t xml:space="preserve">Proactive system updates and feature enhancements</w:t>
      </w:r>
    </w:p>
    <w:p>
      <w:pPr>
        <w:pStyle w:val="Heading1"/>
        <w:spacing w:before="480"/>
      </w:pPr>
      <w:r>
        <w:t xml:space="preserve">3. Product Roadmap &amp; Upcoming Features</w:t>
      </w:r>
    </w:p>
    <w:p>
      <w:pPr>
        <w:spacing w:after="200"/>
      </w:pPr>
      <w:r>
        <w:t xml:space="preserve">Our engineering team has been working on several breakthrough capabilities scheduled for release in Q4 2024 and Q1 2025. These enhancements are designed to further accelerate client value realization and expand automation possibilities.</w:t>
      </w:r>
    </w:p>
    <w:p>
      <w:pPr>
        <w:pStyle w:val="Heading2"/>
      </w:pPr>
      <w:r>
        <w:t xml:space="preserve">3.1 Q4 2024 Releases</w:t>
      </w:r>
    </w:p>
    <w:p>
      <w:pPr>
        <w:spacing w:after="100"/>
      </w:pPr>
      <w:r>
        <w:rPr>
          <w:b/>
          <w:bCs/>
        </w:rPr>
        <w:t xml:space="preserve">NexusAI Predictive Analytics Module (Nov 2024): </w:t>
      </w:r>
      <w:r>
        <w:t xml:space="preserve">Machine learning-powered forecasting that analyzes historical workflow data to predict bottlenecks and optimize resource allocation automatically.</w:t>
      </w:r>
    </w:p>
    <w:p>
      <w:pPr>
        <w:spacing w:after="100"/>
      </w:pPr>
      <w:r>
        <w:rPr>
          <w:b/>
          <w:bCs/>
        </w:rPr>
        <w:t xml:space="preserve">Enhanced API Gateway (Dec 2024): </w:t>
      </w:r>
      <w:r>
        <w:t xml:space="preserve">Expanded integration ecosystem supporting real-time bi-directional data sync with SAP, Oracle, and Salesforce platforms.</w:t>
      </w:r>
    </w:p>
    <w:p>
      <w:pPr>
        <w:spacing w:after="100"/>
      </w:pPr>
      <w:r>
        <w:rPr>
          <w:b/>
          <w:bCs/>
        </w:rPr>
        <w:t xml:space="preserve">Mobile Command Center (Dec 2024): </w:t>
      </w:r>
      <w:r>
        <w:t xml:space="preserve">Native iOS and Android applications enabling executives to monitor and approve critical workflows from anywhere.</w:t>
      </w:r>
    </w:p>
    <w:p>
      <w:pPr>
        <w:pStyle w:val="Heading2"/>
        <w:spacing w:before="240"/>
      </w:pPr>
      <w:r>
        <w:t xml:space="preserve">3.2 Q1 2025 Roadmap</w:t>
      </w:r>
    </w:p>
    <w:p>
      <w:pPr>
        <w:spacing w:after="100"/>
      </w:pPr>
      <w:r>
        <w:rPr>
          <w:b/>
          <w:bCs/>
        </w:rPr>
        <w:t xml:space="preserve">Voice-Activated Workflow Controls (Jan 2025): </w:t>
      </w:r>
      <w:r>
        <w:t xml:space="preserve">Natural language processing integration allowing users to initiate and manage workflows through voice commands.</w:t>
      </w:r>
    </w:p>
    <w:p>
      <w:pPr>
        <w:spacing w:after="100"/>
      </w:pPr>
      <w:r>
        <w:rPr>
          <w:b/>
          <w:bCs/>
        </w:rPr>
        <w:t xml:space="preserve">Blockchain Audit Trail (Feb 2025): </w:t>
      </w:r>
      <w:r>
        <w:t xml:space="preserve">Immutable ledger integration for industries requiring enhanced compliance and audit capabilities.</w:t>
      </w:r>
    </w:p>
    <w:p>
      <w:pPr>
        <w:spacing w:after="100"/>
      </w:pPr>
      <w:r>
        <w:rPr>
          <w:b/>
          <w:bCs/>
        </w:rPr>
        <w:t xml:space="preserve">Advanced Data Visualization Suite (Mar 2025): </w:t>
      </w:r>
      <w:r>
        <w:t xml:space="preserve">Interactive dashboards with customizable KPI tracking and automated insight generation.</w:t>
      </w:r>
    </w:p>
    <w:p>
      <w:pPr>
        <w:pStyle w:val="Heading1"/>
        <w:spacing w:before="480"/>
      </w:pPr>
      <w:r>
        <w:t xml:space="preserve">4. Case Study: Meridian Logistics Transformation</w:t>
      </w:r>
    </w:p>
    <w:p>
      <w:pPr>
        <w:spacing w:after="200"/>
      </w:pPr>
      <w:r>
        <w:rPr>
          <w:b/>
          <w:bCs/>
        </w:rPr>
        <w:t xml:space="preserve">Client Profile: </w:t>
      </w:r>
      <w:r>
        <w:t xml:space="preserve">Meridian Logistics, a global supply chain management company with operations across 34 countries and annual revenue of $2.8B.</w:t>
      </w:r>
    </w:p>
    <w:p>
      <w:pPr>
        <w:pStyle w:val="Heading2"/>
      </w:pPr>
      <w:r>
        <w:t xml:space="preserve">4.1 Challenge</w:t>
      </w:r>
    </w:p>
    <w:p>
      <w:pPr>
        <w:spacing w:after="200"/>
      </w:pPr>
      <w:r>
        <w:t xml:space="preserve">Meridian faced significant operational inefficiencies due to fragmented legacy systems. Their procurement process alone involved 14 manual handoffs across 6 departments, resulting in average processing times of 23 days per purchase order. Error rates were approximately 8%, leading to costly rework and supplier disputes.</w:t>
      </w:r>
    </w:p>
    <w:p>
      <w:pPr>
        <w:pStyle w:val="Heading2"/>
      </w:pPr>
      <w:r>
        <w:t xml:space="preserve">4.2 Solution Deployed</w:t>
      </w:r>
    </w:p>
    <w:p>
      <w:pPr>
        <w:spacing w:after="200"/>
      </w:pPr>
      <w:r>
        <w:t xml:space="preserve">Nexus Innovations implemented a comprehensive automation solution including:</w:t>
      </w:r>
    </w:p>
    <w:p>
      <w:pPr>
        <w:spacing w:after="100"/>
        <w:ind w:left="720"/>
      </w:pPr>
      <w:r>
        <w:rPr>
          <w:b/>
          <w:bCs/>
        </w:rPr>
        <w:t xml:space="preserve">• </w:t>
      </w:r>
      <w:r>
        <w:t xml:space="preserve">Intelligent document processing using OCR and NLP to automatically extract data from supplier invoices and contracts</w:t>
      </w:r>
    </w:p>
    <w:p>
      <w:pPr>
        <w:spacing w:after="100"/>
        <w:ind w:left="720"/>
      </w:pPr>
      <w:r>
        <w:rPr>
          <w:b/>
          <w:bCs/>
        </w:rPr>
        <w:t xml:space="preserve">• </w:t>
      </w:r>
      <w:r>
        <w:t xml:space="preserve">End-to-end workflow automation connecting ERP, CRM, and procurement systems</w:t>
      </w:r>
    </w:p>
    <w:p>
      <w:pPr>
        <w:spacing w:after="100"/>
        <w:ind w:left="720"/>
      </w:pPr>
      <w:r>
        <w:rPr>
          <w:b/>
          <w:bCs/>
        </w:rPr>
        <w:t xml:space="preserve">• </w:t>
      </w:r>
      <w:r>
        <w:t xml:space="preserve">AI-powered approval routing based on amount thresholds and department hierarchies</w:t>
      </w:r>
    </w:p>
    <w:p>
      <w:pPr>
        <w:spacing w:after="100"/>
        <w:ind w:left="720"/>
      </w:pPr>
      <w:r>
        <w:rPr>
          <w:b/>
          <w:bCs/>
        </w:rPr>
        <w:t xml:space="preserve">• </w:t>
      </w:r>
      <w:r>
        <w:t xml:space="preserve">Real-time analytics dashboard for supply chain visibility</w:t>
      </w:r>
    </w:p>
    <w:p>
      <w:pPr>
        <w:pStyle w:val="Heading2"/>
        <w:spacing w:before="240"/>
      </w:pPr>
      <w:r>
        <w:t xml:space="preserve">4.3 Results Achieved</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rPr>
          <w:tblHeader/>
        </w:trPr>
        <w:tc>
          <w:tcPr>
            <w:tcW w:type="dxa" w:w="4680"/>
            <w:tcBorders>
              <w:top w:val="single" w:color="CCCCCC" w:sz="1"/>
              <w:left w:val="single" w:color="CCCCCC" w:sz="1"/>
              <w:bottom w:val="single" w:color="CCCCCC" w:sz="1"/>
              <w:right w:val="single" w:color="CCCCCC" w:sz="1"/>
            </w:tcBorders>
            <w:shd w:fill="2c5282" w:val="clear"/>
          </w:tcPr>
          <w:p>
            <w:pPr>
              <w:jc w:val="center"/>
            </w:pPr>
            <w:r>
              <w:rPr>
                <w:b/>
                <w:bCs/>
                <w:color w:val="FFFFFF"/>
              </w:rPr>
              <w:t xml:space="preserve">Metric</w:t>
            </w:r>
          </w:p>
        </w:tc>
        <w:tc>
          <w:tcPr>
            <w:tcW w:type="dxa" w:w="4680"/>
            <w:tcBorders>
              <w:top w:val="single" w:color="CCCCCC" w:sz="1"/>
              <w:left w:val="single" w:color="CCCCCC" w:sz="1"/>
              <w:bottom w:val="single" w:color="CCCCCC" w:sz="1"/>
              <w:right w:val="single" w:color="CCCCCC" w:sz="1"/>
            </w:tcBorders>
            <w:shd w:fill="2c5282" w:val="clear"/>
          </w:tcPr>
          <w:p>
            <w:pPr>
              <w:jc w:val="center"/>
            </w:pPr>
            <w:r>
              <w:rPr>
                <w:b/>
                <w:bCs/>
                <w:color w:val="FFFFFF"/>
              </w:rPr>
              <w:t xml:space="preserve">Improvement</w:t>
            </w:r>
          </w:p>
        </w:tc>
      </w:tr>
      <w:tr>
        <w:tc>
          <w:tcPr>
            <w:tcW w:type="dxa" w:w="4680"/>
            <w:tcBorders>
              <w:top w:val="single" w:color="CCCCCC" w:sz="1"/>
              <w:left w:val="single" w:color="CCCCCC" w:sz="1"/>
              <w:bottom w:val="single" w:color="CCCCCC" w:sz="1"/>
              <w:right w:val="single" w:color="CCCCCC" w:sz="1"/>
            </w:tcBorders>
          </w:tcPr>
          <w:p>
            <w:r>
              <w:t xml:space="preserve">Purchase Order Processing Time</w:t>
            </w:r>
          </w:p>
        </w:tc>
        <w:tc>
          <w:tcPr>
            <w:tcW w:type="dxa" w:w="4680"/>
            <w:tcBorders>
              <w:top w:val="single" w:color="CCCCCC" w:sz="1"/>
              <w:left w:val="single" w:color="CCCCCC" w:sz="1"/>
              <w:bottom w:val="single" w:color="CCCCCC" w:sz="1"/>
              <w:right w:val="single" w:color="CCCCCC" w:sz="1"/>
            </w:tcBorders>
          </w:tcPr>
          <w:p>
            <w:pPr>
              <w:jc w:val="center"/>
            </w:pPr>
            <w:r>
              <w:rPr>
                <w:b/>
                <w:bCs/>
                <w:color w:val="2f855a"/>
              </w:rPr>
              <w:t xml:space="preserve">23 days → 2.5 days (-89%)</w:t>
            </w:r>
          </w:p>
        </w:tc>
      </w:tr>
      <w:tr>
        <w:tc>
          <w:tcPr>
            <w:tcW w:type="dxa" w:w="4680"/>
            <w:tcBorders>
              <w:top w:val="single" w:color="CCCCCC" w:sz="1"/>
              <w:left w:val="single" w:color="CCCCCC" w:sz="1"/>
              <w:bottom w:val="single" w:color="CCCCCC" w:sz="1"/>
              <w:right w:val="single" w:color="CCCCCC" w:sz="1"/>
            </w:tcBorders>
          </w:tcPr>
          <w:p>
            <w:r>
              <w:t xml:space="preserve">Error Rate</w:t>
            </w:r>
          </w:p>
        </w:tc>
        <w:tc>
          <w:tcPr>
            <w:tcW w:type="dxa" w:w="4680"/>
            <w:tcBorders>
              <w:top w:val="single" w:color="CCCCCC" w:sz="1"/>
              <w:left w:val="single" w:color="CCCCCC" w:sz="1"/>
              <w:bottom w:val="single" w:color="CCCCCC" w:sz="1"/>
              <w:right w:val="single" w:color="CCCCCC" w:sz="1"/>
            </w:tcBorders>
          </w:tcPr>
          <w:p>
            <w:pPr>
              <w:jc w:val="center"/>
            </w:pPr>
            <w:r>
              <w:rPr>
                <w:b/>
                <w:bCs/>
                <w:color w:val="2f855a"/>
              </w:rPr>
              <w:t xml:space="preserve">8% → 0.4% (-95%)</w:t>
            </w:r>
          </w:p>
        </w:tc>
      </w:tr>
      <w:tr>
        <w:tc>
          <w:tcPr>
            <w:tcW w:type="dxa" w:w="4680"/>
            <w:tcBorders>
              <w:top w:val="single" w:color="CCCCCC" w:sz="1"/>
              <w:left w:val="single" w:color="CCCCCC" w:sz="1"/>
              <w:bottom w:val="single" w:color="CCCCCC" w:sz="1"/>
              <w:right w:val="single" w:color="CCCCCC" w:sz="1"/>
            </w:tcBorders>
          </w:tcPr>
          <w:p>
            <w:r>
              <w:t xml:space="preserve">Staff Time on Manual Tasks</w:t>
            </w:r>
          </w:p>
        </w:tc>
        <w:tc>
          <w:tcPr>
            <w:tcW w:type="dxa" w:w="4680"/>
            <w:tcBorders>
              <w:top w:val="single" w:color="CCCCCC" w:sz="1"/>
              <w:left w:val="single" w:color="CCCCCC" w:sz="1"/>
              <w:bottom w:val="single" w:color="CCCCCC" w:sz="1"/>
              <w:right w:val="single" w:color="CCCCCC" w:sz="1"/>
            </w:tcBorders>
          </w:tcPr>
          <w:p>
            <w:pPr>
              <w:jc w:val="center"/>
            </w:pPr>
            <w:r>
              <w:rPr>
                <w:b/>
                <w:bCs/>
                <w:color w:val="2f855a"/>
              </w:rPr>
              <w:t xml:space="preserve">Reduced by 2,400 hours/month</w:t>
            </w:r>
          </w:p>
        </w:tc>
      </w:tr>
      <w:tr>
        <w:tc>
          <w:tcPr>
            <w:tcW w:type="dxa" w:w="4680"/>
            <w:tcBorders>
              <w:top w:val="single" w:color="CCCCCC" w:sz="1"/>
              <w:left w:val="single" w:color="CCCCCC" w:sz="1"/>
              <w:bottom w:val="single" w:color="CCCCCC" w:sz="1"/>
              <w:right w:val="single" w:color="CCCCCC" w:sz="1"/>
            </w:tcBorders>
          </w:tcPr>
          <w:p>
            <w:r>
              <w:t xml:space="preserve">Annual Cost Savings</w:t>
            </w:r>
          </w:p>
        </w:tc>
        <w:tc>
          <w:tcPr>
            <w:tcW w:type="dxa" w:w="4680"/>
            <w:tcBorders>
              <w:top w:val="single" w:color="CCCCCC" w:sz="1"/>
              <w:left w:val="single" w:color="CCCCCC" w:sz="1"/>
              <w:bottom w:val="single" w:color="CCCCCC" w:sz="1"/>
              <w:right w:val="single" w:color="CCCCCC" w:sz="1"/>
            </w:tcBorders>
          </w:tcPr>
          <w:p>
            <w:pPr>
              <w:jc w:val="center"/>
            </w:pPr>
            <w:r>
              <w:rPr>
                <w:b/>
                <w:bCs/>
                <w:color w:val="2f855a"/>
              </w:rPr>
              <w:t xml:space="preserve">$4.7M in first year</w:t>
            </w:r>
          </w:p>
        </w:tc>
      </w:tr>
      <w:tr>
        <w:tc>
          <w:tcPr>
            <w:tcW w:type="dxa" w:w="4680"/>
            <w:tcBorders>
              <w:top w:val="single" w:color="CCCCCC" w:sz="1"/>
              <w:left w:val="single" w:color="CCCCCC" w:sz="1"/>
              <w:bottom w:val="single" w:color="CCCCCC" w:sz="1"/>
              <w:right w:val="single" w:color="CCCCCC" w:sz="1"/>
            </w:tcBorders>
          </w:tcPr>
          <w:p>
            <w:r>
              <w:t xml:space="preserve">ROI</w:t>
            </w:r>
          </w:p>
        </w:tc>
        <w:tc>
          <w:tcPr>
            <w:tcW w:type="dxa" w:w="4680"/>
            <w:tcBorders>
              <w:top w:val="single" w:color="CCCCCC" w:sz="1"/>
              <w:left w:val="single" w:color="CCCCCC" w:sz="1"/>
              <w:bottom w:val="single" w:color="CCCCCC" w:sz="1"/>
              <w:right w:val="single" w:color="CCCCCC" w:sz="1"/>
            </w:tcBorders>
          </w:tcPr>
          <w:p>
            <w:pPr>
              <w:jc w:val="center"/>
            </w:pPr>
            <w:r>
              <w:rPr>
                <w:b/>
                <w:bCs/>
                <w:color w:val="2f855a"/>
              </w:rPr>
              <w:t xml:space="preserve">412% within 12 months</w:t>
            </w:r>
          </w:p>
        </w:tc>
      </w:tr>
    </w:tbl>
    <w:p>
      <w:pPr>
        <w:pStyle w:val="Heading1"/>
        <w:spacing w:before="480"/>
      </w:pPr>
      <w:r>
        <w:t xml:space="preserve">5. Executive Summary</w:t>
      </w:r>
    </w:p>
    <w:p>
      <w:pPr>
        <w:spacing w:after="200"/>
      </w:pPr>
      <w:r>
        <w:t xml:space="preserve">Nexus Innovations has demonstrated exceptional growth and market leadership throughout Q3 2024. Our technology platform continues to deliver transformative results for enterprise clients, with measurable ROI typically achieved within the first quarter of deployment.</w:t>
      </w:r>
    </w:p>
    <w:p>
      <w:pPr>
        <w:spacing w:after="200"/>
      </w:pPr>
      <w:r>
        <w:t xml:space="preserve">Key takeaways from this review include:</w:t>
      </w:r>
    </w:p>
    <w:p>
      <w:pPr>
        <w:spacing w:after="100"/>
        <w:ind w:left="720"/>
      </w:pPr>
      <w:r>
        <w:rPr>
          <w:b/>
          <w:bCs/>
        </w:rPr>
        <w:t xml:space="preserve">1. </w:t>
      </w:r>
      <w:r>
        <w:t xml:space="preserve">Revenue growth of 34% significantly outpaced industry average of 12%</w:t>
      </w:r>
    </w:p>
    <w:p>
      <w:pPr>
        <w:spacing w:after="100"/>
        <w:ind w:left="720"/>
      </w:pPr>
      <w:r>
        <w:rPr>
          <w:b/>
          <w:bCs/>
        </w:rPr>
        <w:t xml:space="preserve">2. </w:t>
      </w:r>
      <w:r>
        <w:t xml:space="preserve">Customer acquisition costs reduced by 28% through improved targeting</w:t>
      </w:r>
    </w:p>
    <w:p>
      <w:pPr>
        <w:spacing w:after="100"/>
        <w:ind w:left="720"/>
      </w:pPr>
      <w:r>
        <w:rPr>
          <w:b/>
          <w:bCs/>
        </w:rPr>
        <w:t xml:space="preserve">3. </w:t>
      </w:r>
      <w:r>
        <w:t xml:space="preserve">Product roadmap aligned with emerging enterprise automation needs</w:t>
      </w:r>
    </w:p>
    <w:p>
      <w:pPr>
        <w:spacing w:after="100"/>
        <w:ind w:left="720"/>
      </w:pPr>
      <w:r>
        <w:rPr>
          <w:b/>
          <w:bCs/>
        </w:rPr>
        <w:t xml:space="preserve">4. </w:t>
      </w:r>
      <w:r>
        <w:t xml:space="preserve">Client retention at 94.3% reflects strong product-market fit</w:t>
      </w:r>
    </w:p>
    <w:p>
      <w:pPr>
        <w:spacing w:after="100"/>
        <w:ind w:left="720"/>
      </w:pPr>
      <w:r>
        <w:rPr>
          <w:b/>
          <w:bCs/>
        </w:rPr>
        <w:t xml:space="preserve">5. </w:t>
      </w:r>
      <w:r>
        <w:t xml:space="preserve">Average implementation time reduced to 4.2 weeks, creating competitive advantage</w:t>
      </w:r>
    </w:p>
    <w:p>
      <w:pPr>
        <w:spacing w:after="200" w:before="240"/>
      </w:pPr>
      <w:r>
        <w:t xml:space="preserve">We remain committed to driving innovation in enterprise automation and look forward to partnering with Apex Global Enterprises to deliver similar transformative outcomes for your organization.</w:t>
      </w:r>
    </w:p>
    <w:p>
      <w:pPr>
        <w:pStyle w:val="Heading1"/>
        <w:spacing w:before="480"/>
      </w:pPr>
      <w:r>
        <w:t xml:space="preserve">6. Recommended Next Steps</w:t>
      </w:r>
    </w:p>
    <w:p>
      <w:pPr>
        <w:spacing w:after="100"/>
      </w:pPr>
      <w:r>
        <w:rPr>
          <w:b/>
          <w:bCs/>
        </w:rPr>
        <w:t xml:space="preserve">1. Schedule Technical Deep-Dive Session: </w:t>
      </w:r>
      <w:r>
        <w:t xml:space="preserve">Arrange a 60-minute technical demonstration focusing on Apex Global's specific use cases and integration requirements.</w:t>
      </w:r>
    </w:p>
    <w:p>
      <w:pPr>
        <w:spacing w:after="100"/>
      </w:pPr>
      <w:r>
        <w:rPr>
          <w:b/>
          <w:bCs/>
        </w:rPr>
        <w:t xml:space="preserve">2. Provide Custom ROI Analysis: </w:t>
      </w:r>
      <w:r>
        <w:t xml:space="preserve">Deliver a tailored ROI projection based on Apex Global's current operational data and automation potential.</w:t>
      </w:r>
    </w:p>
    <w:p>
      <w:pPr>
        <w:spacing w:after="100"/>
      </w:pPr>
      <w:r>
        <w:rPr>
          <w:b/>
          <w:bCs/>
        </w:rPr>
        <w:t xml:space="preserve">3. Pilot Program Proposal: </w:t>
      </w:r>
      <w:r>
        <w:t xml:space="preserve">Develop a 90-day pilot program proposal targeting one high-impact workflow to demonstrate capabilities.</w:t>
      </w:r>
    </w:p>
    <w:p>
      <w:pPr>
        <w:spacing w:after="100"/>
      </w:pPr>
      <w:r>
        <w:rPr>
          <w:b/>
          <w:bCs/>
        </w:rPr>
        <w:t xml:space="preserve">4. Reference Calls: </w:t>
      </w:r>
      <w:r>
        <w:t xml:space="preserve">Connect Apex Global executives with Meridian Logistics and two additional reference clients in similar industries.</w:t>
      </w:r>
    </w:p>
    <w:p>
      <w:pPr>
        <w:spacing w:after="100"/>
      </w:pPr>
      <w:r>
        <w:rPr>
          <w:b/>
          <w:bCs/>
        </w:rPr>
        <w:t xml:space="preserve">5. Contract Discussion: </w:t>
      </w:r>
      <w:r>
        <w:t xml:space="preserve">Prepare customized pricing and licensing terms based on projected user count and feature requirements.</w:t>
      </w:r>
    </w:p>
    <w:p>
      <w:pPr>
        <w:spacing w:before="480"/>
        <w:jc w:val="center"/>
      </w:pPr>
      <w:r>
        <w:rPr>
          <w:i/>
          <w:iCs/>
          <w:color w:val="718096"/>
        </w:rPr>
        <w:t xml:space="preserve">— End of Document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Title">
    <w:name w:val="Title"/>
    <w:basedOn w:val="Normal"/>
    <w:pPr>
      <w:spacing w:after="240" w:before="240"/>
      <w:jc w:val="center"/>
    </w:pPr>
    <w:rPr>
      <w:rFonts w:ascii="Arial" w:cs="Arial" w:eastAsia="Arial" w:hAnsi="Arial"/>
      <w:b/>
      <w:bCs/>
      <w:color w:val="1a365d"/>
      <w:sz w:val="56"/>
      <w:szCs w:val="56"/>
    </w:rPr>
  </w:style>
  <w:style w:type="paragraph" w:styleId="Heading1">
    <w:name w:val="Heading 1"/>
    <w:basedOn w:val="Normal"/>
    <w:next w:val="Normal"/>
    <w:qFormat/>
    <w:pPr>
      <w:spacing w:after="180" w:before="360"/>
      <w:outlineLvl w:val="0"/>
    </w:pPr>
    <w:rPr>
      <w:rFonts w:ascii="Arial" w:cs="Arial" w:eastAsia="Arial" w:hAnsi="Arial"/>
      <w:b/>
      <w:bCs/>
      <w:color w:val="2c5282"/>
      <w:sz w:val="32"/>
      <w:szCs w:val="32"/>
    </w:rPr>
  </w:style>
  <w:style w:type="paragraph" w:styleId="Heading2">
    <w:name w:val="Heading 2"/>
    <w:basedOn w:val="Normal"/>
    <w:next w:val="Normal"/>
    <w:qFormat/>
    <w:pPr>
      <w:spacing w:after="120" w:before="240"/>
      <w:outlineLvl w:val="1"/>
    </w:pPr>
    <w:rPr>
      <w:rFonts w:ascii="Arial" w:cs="Arial" w:eastAsia="Arial" w:hAnsi="Arial"/>
      <w:b/>
      <w:bCs/>
      <w:color w:val="2b6cb0"/>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2026-05-19T13:22:55.974Z</dcterms:created>
  <dcterms:modified xsi:type="dcterms:W3CDTF">2026-05-19T13:22:55.974Z</dcterms:modified>
</cp:coreProperties>
</file>

<file path=docProps/custom.xml><?xml version="1.0" encoding="utf-8"?>
<Properties xmlns="http://schemas.openxmlformats.org/officeDocument/2006/custom-properties" xmlns:vt="http://schemas.openxmlformats.org/officeDocument/2006/docPropsVTypes"/>
</file>